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0BAA95" w14:textId="77777777" w:rsidR="00E030E2" w:rsidRDefault="00E030E2" w:rsidP="00E030E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Amidst a loosely regulated medical marketplace, the proliferation of mass-manufactured home remedies, and a scarcity of prudent physicians, southerners feared by the close of the nineteenth century that opium, cocaine, and other habit-forming substances were wreaking havoc on society. Historians have long been aware that the most common instance of drug use in this context occurred among middle and upper-class white women with prescription opiates. It is commonly assumed that southern politicians, doctors, and reformers ignored these "respectable" addicts but succeeded in regulating drugs at the local and federal levels by demonizing all other drug users, namely African American and Chinese men. The rhetoric that has commanded historians’ attention resembles the frequent justifications for lynchings and Chinese exclusion: allegations of rape and demands that white women’s “virtue” be protected. While these calls to action deserve careful consideration because they illustrate how racial anxieties inspired the criminalization of narcotics, public outcry for reform involved women on a much deeper level than as bit-role victims. In addition to white southerners’ purported horror at African American cocaine usage and opium dens, a broader cultural shift regarding “respectable” drug use was occurring. Absent from existing narratives are women’s voices as patients, addicts, and community leaders. Southern women of both races, often participants in the temperance movement, were some of the most outspoken advocates for the prohibition of narcotics. Along with their doctors' multiplying warnings regarding overprescription and consumption, they helped to craft an image of drug users as depraved, self-indulgent and deluded. By the nineteenth century's close, female habitués garnered substantial concern alongside the more familiar </w:t>
      </w:r>
      <w:r>
        <w:rPr>
          <w:rFonts w:ascii="Times New Roman" w:eastAsia="Times New Roman" w:hAnsi="Times New Roman" w:cs="Times New Roman"/>
          <w:sz w:val="24"/>
          <w:szCs w:val="24"/>
        </w:rPr>
        <w:lastRenderedPageBreak/>
        <w:t xml:space="preserve">working-class and non-white stereotypes. Through examining the stigmatization of addiction within the context of the Post-Reconstruction South, it becomes clear that women gained political leverage by crusading against narcotics, all while crafting and reinforcing the notion that they belonged to the fairer, and in this case, sober sex.  </w:t>
      </w:r>
    </w:p>
    <w:p w14:paraId="299BE5EE" w14:textId="11E9BD11" w:rsidR="00E030E2" w:rsidRDefault="00E030E2" w:rsidP="00E030E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Contemporary understandings of drug use cannot be divorced from the broader political discourse of the Gilded Age and Progressive era, particularly the temperance movement. The partition between and vastly different treatment of alcohol and drugs in American society today causes some researchers to distance the two categories in an era where the boundaries, especially to reformers and medical professionals, were much less distinct. Tellingly, when Frances Willard visited Atlanta in 1890 to deliver her annual address to the Woman's Christian Temperance Union, she made sure to attack a problem her audience was coming to know quite well. “The opium habit is becoming dangerously prevalent.” </w:t>
      </w:r>
      <w:r w:rsidR="0093686A">
        <w:rPr>
          <w:rFonts w:ascii="Times New Roman" w:eastAsia="Times New Roman" w:hAnsi="Times New Roman" w:cs="Times New Roman"/>
          <w:sz w:val="24"/>
          <w:szCs w:val="24"/>
        </w:rPr>
        <w:t>she</w:t>
      </w:r>
      <w:r>
        <w:rPr>
          <w:rFonts w:ascii="Times New Roman" w:eastAsia="Times New Roman" w:hAnsi="Times New Roman" w:cs="Times New Roman"/>
          <w:sz w:val="24"/>
          <w:szCs w:val="24"/>
        </w:rPr>
        <w:t xml:space="preserve"> declared. “Women are using a small lozenge of opium carried in bon-bon boxes, and taken when one is tired or depressed. We must try to reach these deluded women by press and pulpit, persuasion and prayer.”</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 xml:space="preserve"> Opium belonged just as much to the category of vice as it did to medicine, and progressives intended to prevent its corrupting influence much like liquor, gambling, and prostitution. As reform-minded women exploited society’s understanding of them as the more virtuous, moral sex to have greater influence over the public sphere, their vice crusades made “female addicts” sound like a contradiction in terms.</w:t>
      </w:r>
    </w:p>
    <w:p w14:paraId="5CD0A018" w14:textId="77777777" w:rsidR="00E030E2" w:rsidRDefault="00E030E2" w:rsidP="00E030E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Caroline E. Merrick, the president of the Louisiana WCTU chapter, took queues from Willard when writing her 1901 autobiography, </w:t>
      </w:r>
      <w:r>
        <w:rPr>
          <w:rFonts w:ascii="Times New Roman" w:eastAsia="Times New Roman" w:hAnsi="Times New Roman" w:cs="Times New Roman"/>
          <w:i/>
          <w:iCs/>
          <w:sz w:val="24"/>
          <w:szCs w:val="24"/>
        </w:rPr>
        <w:t>Old Times in Dixie Land</w:t>
      </w:r>
      <w:r>
        <w:rPr>
          <w:rFonts w:ascii="Times New Roman" w:eastAsia="Times New Roman" w:hAnsi="Times New Roman" w:cs="Times New Roman"/>
          <w:sz w:val="24"/>
          <w:szCs w:val="24"/>
        </w:rPr>
        <w:t xml:space="preserve">. Recounting an alarming </w:t>
      </w:r>
      <w:r>
        <w:rPr>
          <w:rFonts w:ascii="Times New Roman" w:eastAsia="Times New Roman" w:hAnsi="Times New Roman" w:cs="Times New Roman"/>
          <w:sz w:val="24"/>
          <w:szCs w:val="24"/>
        </w:rPr>
        <w:lastRenderedPageBreak/>
        <w:t>exchange with her physician, Merrick had confided in him that she had been feeling unusually anxious. The doctor offered to prescribe her any medicine from a long list he recited, among which were “opium, Indian hemp,” and “arsenic.” “Good gracious!” she replied, appalled that he assumed she would willingly resort to such drastic measures. “Am I to swallow all these poisonous things?” The doctor then tried to convince Merrick of the curative powers of rest, even telling her she need not worry if she was too intoxicated to attend to her infant daughter. Outraged, Merrick continued to protest but the man quickly interrupted her, warning, “Now is the time to stop, lest you come to the door of an insane asylum.” She concluded the anecdote by sympathizing with others suffering from “nervous exhaustion.” “I know it is so with a woman, for all the peace and joy of life go out of her with sickness” she explained. “I believe, too, that she would be subject to less nervous prostration if she had greater part in the more enlarging and ennobling human activities.” This reformer suggested that even though women’s drug use often started with a medical prescription, they did not have to blindly follow doctors’ orders. The best method of preventing addiction for both oneself and others was to get directly involved in bettering society.</w:t>
      </w:r>
      <w:r>
        <w:rPr>
          <w:rFonts w:ascii="Times New Roman" w:eastAsia="Times New Roman" w:hAnsi="Times New Roman" w:cs="Times New Roman"/>
          <w:sz w:val="24"/>
          <w:szCs w:val="24"/>
          <w:vertAlign w:val="superscript"/>
        </w:rPr>
        <w:footnoteReference w:id="2"/>
      </w:r>
      <w:r>
        <w:rPr>
          <w:rFonts w:ascii="Times New Roman" w:eastAsia="Times New Roman" w:hAnsi="Times New Roman" w:cs="Times New Roman"/>
          <w:sz w:val="24"/>
          <w:szCs w:val="24"/>
        </w:rPr>
        <w:t xml:space="preserve"> </w:t>
      </w:r>
    </w:p>
    <w:p w14:paraId="4A9AA13E" w14:textId="77777777" w:rsidR="00E030E2" w:rsidRDefault="00E030E2" w:rsidP="00E030E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addition to commenting on the multiplication of so-called “medical addicts,” some women joined the chorus of voices condemning non-medical forms of delivery, especially opium smoking due to its strong connection with Chinese immigrants. In 1900, Belle Kearney, the first woman ever elected to the Mississippi State Senate, offered a typical anecdote of Progressive Era slumming in her autobiography, </w:t>
      </w:r>
      <w:r>
        <w:rPr>
          <w:rFonts w:ascii="Times New Roman" w:eastAsia="Times New Roman" w:hAnsi="Times New Roman" w:cs="Times New Roman"/>
          <w:i/>
          <w:sz w:val="24"/>
          <w:szCs w:val="24"/>
        </w:rPr>
        <w:t>A Slaveholder’s Daughter</w:t>
      </w:r>
      <w:r>
        <w:rPr>
          <w:rFonts w:ascii="Times New Roman" w:eastAsia="Times New Roman" w:hAnsi="Times New Roman" w:cs="Times New Roman"/>
          <w:sz w:val="24"/>
          <w:szCs w:val="24"/>
        </w:rPr>
        <w:t xml:space="preserve">. Writing of her travels to San Francisco, Kearney and an acquaintance ventured “into the opium dives, entering dark, </w:t>
      </w:r>
      <w:r>
        <w:rPr>
          <w:rFonts w:ascii="Times New Roman" w:eastAsia="Times New Roman" w:hAnsi="Times New Roman" w:cs="Times New Roman"/>
          <w:sz w:val="24"/>
          <w:szCs w:val="24"/>
        </w:rPr>
        <w:lastRenderedPageBreak/>
        <w:t>forbidding, rambling old houses, and after meandering around in shadowy courts and murky passages arrived at tiny rooms full of rags and filth and fumes, and saw stretched out on loathsome cots specimens of humanity that had once been called men, but at present looked more like spirits from Hades.” Emphasizing the physical consequences of opium smoking, which her deeply-held prejudice towards racial others likely influenced, she offered a disturbing portrait of the nameless smokers with “bodies thin and scrawny, the yellow skin like parchment drawn over the grinning bones; small, sleepy almond eyes glistening under shaggy brows that beetled from bare, knotty foreheads; a mass of blue-black hair coiled at the back of the head; all - bones, skin, eyes and hair piled up in the middle of the bed - smoking… We endured the sight of the degradation as long as we could, then walked away filled with disgust.”</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 xml:space="preserve"> By sharing this orchestrated form of voyeurism with her readers, Kearney managed to claim both a direct witness of and a moral high ground over the multi-racial urban underworld which became a target of her work as a temperance reformer.</w:t>
      </w:r>
      <w:r>
        <w:rPr>
          <w:rFonts w:ascii="Times New Roman" w:eastAsia="Times New Roman" w:hAnsi="Times New Roman" w:cs="Times New Roman"/>
          <w:sz w:val="24"/>
          <w:szCs w:val="24"/>
          <w:vertAlign w:val="superscript"/>
        </w:rPr>
        <w:footnoteReference w:id="4"/>
      </w:r>
    </w:p>
    <w:p w14:paraId="5596BFF9" w14:textId="77777777" w:rsidR="008C712F" w:rsidRDefault="008C712F"/>
    <w:sectPr w:rsidR="008C712F" w:rsidSect="00F94D19">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CD27DE" w14:textId="77777777" w:rsidR="00EB540E" w:rsidRDefault="00EB540E" w:rsidP="00E030E2">
      <w:pPr>
        <w:spacing w:line="240" w:lineRule="auto"/>
      </w:pPr>
      <w:r>
        <w:separator/>
      </w:r>
    </w:p>
  </w:endnote>
  <w:endnote w:type="continuationSeparator" w:id="0">
    <w:p w14:paraId="77A021A8" w14:textId="77777777" w:rsidR="00EB540E" w:rsidRDefault="00EB540E" w:rsidP="00E030E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CD40C5" w14:textId="77777777" w:rsidR="00EB540E" w:rsidRDefault="00EB540E" w:rsidP="00E030E2">
      <w:pPr>
        <w:spacing w:line="240" w:lineRule="auto"/>
      </w:pPr>
      <w:r>
        <w:separator/>
      </w:r>
    </w:p>
  </w:footnote>
  <w:footnote w:type="continuationSeparator" w:id="0">
    <w:p w14:paraId="0ED93E4D" w14:textId="77777777" w:rsidR="00EB540E" w:rsidRDefault="00EB540E" w:rsidP="00E030E2">
      <w:pPr>
        <w:spacing w:line="240" w:lineRule="auto"/>
      </w:pPr>
      <w:r>
        <w:continuationSeparator/>
      </w:r>
    </w:p>
  </w:footnote>
  <w:footnote w:id="1">
    <w:p w14:paraId="2928B046" w14:textId="77777777" w:rsidR="00E030E2" w:rsidRPr="000317C3" w:rsidRDefault="00E030E2" w:rsidP="00E030E2">
      <w:pPr>
        <w:spacing w:before="240"/>
        <w:rPr>
          <w:rFonts w:ascii="Times New Roman" w:eastAsia="Times New Roman" w:hAnsi="Times New Roman" w:cs="Times New Roman"/>
          <w:sz w:val="20"/>
          <w:szCs w:val="20"/>
        </w:rPr>
      </w:pPr>
      <w:r w:rsidRPr="000317C3">
        <w:rPr>
          <w:rFonts w:ascii="Times New Roman" w:hAnsi="Times New Roman" w:cs="Times New Roman"/>
          <w:vertAlign w:val="superscript"/>
        </w:rPr>
        <w:footnoteRef/>
      </w:r>
      <w:r w:rsidRPr="000317C3">
        <w:rPr>
          <w:rFonts w:ascii="Times New Roman" w:eastAsia="Times New Roman" w:hAnsi="Times New Roman" w:cs="Times New Roman"/>
          <w:sz w:val="20"/>
          <w:szCs w:val="20"/>
        </w:rPr>
        <w:t>Frances Willard, “Address by Frances E. Willard, President, World's and National Woman's Christian Temperance Union before the seventeenth convention, Atlanta, GA, 1890.”</w:t>
      </w:r>
    </w:p>
    <w:p w14:paraId="18FF44B9" w14:textId="77777777" w:rsidR="00E030E2" w:rsidRPr="000317C3" w:rsidRDefault="00E030E2" w:rsidP="00E030E2">
      <w:pPr>
        <w:spacing w:line="240" w:lineRule="auto"/>
        <w:rPr>
          <w:rFonts w:ascii="Times New Roman" w:hAnsi="Times New Roman" w:cs="Times New Roman"/>
          <w:sz w:val="20"/>
          <w:szCs w:val="20"/>
        </w:rPr>
      </w:pPr>
      <w:r w:rsidRPr="000317C3">
        <w:rPr>
          <w:rFonts w:ascii="Times New Roman" w:eastAsia="Times New Roman" w:hAnsi="Times New Roman" w:cs="Times New Roman"/>
          <w:sz w:val="20"/>
          <w:szCs w:val="20"/>
        </w:rPr>
        <w:t xml:space="preserve"> </w:t>
      </w:r>
      <w:r w:rsidRPr="000317C3">
        <w:rPr>
          <w:rFonts w:ascii="Times New Roman" w:hAnsi="Times New Roman" w:cs="Times New Roman"/>
          <w:sz w:val="20"/>
          <w:szCs w:val="20"/>
        </w:rPr>
        <w:t xml:space="preserve"> </w:t>
      </w:r>
    </w:p>
  </w:footnote>
  <w:footnote w:id="2">
    <w:p w14:paraId="13FC3823" w14:textId="77777777" w:rsidR="00E030E2" w:rsidRPr="000317C3" w:rsidRDefault="00E030E2" w:rsidP="00E030E2">
      <w:pPr>
        <w:spacing w:line="240" w:lineRule="auto"/>
        <w:rPr>
          <w:rFonts w:ascii="Times New Roman" w:eastAsia="Times New Roman" w:hAnsi="Times New Roman" w:cs="Times New Roman"/>
          <w:sz w:val="20"/>
          <w:szCs w:val="20"/>
        </w:rPr>
      </w:pPr>
      <w:r w:rsidRPr="000317C3">
        <w:rPr>
          <w:rFonts w:ascii="Times New Roman" w:hAnsi="Times New Roman" w:cs="Times New Roman"/>
          <w:vertAlign w:val="superscript"/>
        </w:rPr>
        <w:footnoteRef/>
      </w:r>
      <w:r w:rsidRPr="000317C3">
        <w:rPr>
          <w:rFonts w:ascii="Times New Roman" w:eastAsia="Times New Roman" w:hAnsi="Times New Roman" w:cs="Times New Roman"/>
          <w:sz w:val="20"/>
          <w:szCs w:val="20"/>
        </w:rPr>
        <w:t>Caroline E. Merrick,</w:t>
      </w:r>
      <w:r w:rsidRPr="000317C3">
        <w:rPr>
          <w:rFonts w:ascii="Times New Roman" w:eastAsia="Times New Roman" w:hAnsi="Times New Roman" w:cs="Times New Roman"/>
          <w:i/>
          <w:sz w:val="20"/>
          <w:szCs w:val="20"/>
        </w:rPr>
        <w:t xml:space="preserve"> Old Times in Dixie Land: A Southern Matron’s Memories</w:t>
      </w:r>
      <w:r w:rsidRPr="000317C3">
        <w:rPr>
          <w:rFonts w:ascii="Times New Roman" w:eastAsia="Times New Roman" w:hAnsi="Times New Roman" w:cs="Times New Roman"/>
          <w:sz w:val="20"/>
          <w:szCs w:val="20"/>
        </w:rPr>
        <w:t xml:space="preserve"> (New York: The Grafton Press, 1901), 189-191.</w:t>
      </w:r>
    </w:p>
    <w:p w14:paraId="4E0262C4" w14:textId="77777777" w:rsidR="00E030E2" w:rsidRPr="000317C3" w:rsidRDefault="00E030E2" w:rsidP="00E030E2">
      <w:pPr>
        <w:spacing w:line="240" w:lineRule="auto"/>
        <w:rPr>
          <w:rFonts w:ascii="Times New Roman" w:eastAsia="Times New Roman" w:hAnsi="Times New Roman" w:cs="Times New Roman"/>
          <w:sz w:val="20"/>
          <w:szCs w:val="20"/>
        </w:rPr>
      </w:pPr>
    </w:p>
  </w:footnote>
  <w:footnote w:id="3">
    <w:p w14:paraId="4C93E10E" w14:textId="77777777" w:rsidR="00E030E2" w:rsidRPr="000317C3" w:rsidRDefault="00E030E2" w:rsidP="00E030E2">
      <w:pPr>
        <w:spacing w:line="240" w:lineRule="auto"/>
        <w:rPr>
          <w:rFonts w:ascii="Times New Roman" w:eastAsia="Times New Roman" w:hAnsi="Times New Roman" w:cs="Times New Roman"/>
          <w:sz w:val="20"/>
          <w:szCs w:val="20"/>
        </w:rPr>
      </w:pPr>
      <w:r w:rsidRPr="000317C3">
        <w:rPr>
          <w:rFonts w:ascii="Times New Roman" w:hAnsi="Times New Roman" w:cs="Times New Roman"/>
          <w:vertAlign w:val="superscript"/>
        </w:rPr>
        <w:footnoteRef/>
      </w:r>
      <w:r w:rsidRPr="000317C3">
        <w:rPr>
          <w:rFonts w:ascii="Times New Roman" w:eastAsia="Times New Roman" w:hAnsi="Times New Roman" w:cs="Times New Roman"/>
          <w:sz w:val="20"/>
          <w:szCs w:val="20"/>
        </w:rPr>
        <w:t xml:space="preserve">Belle Kearney, </w:t>
      </w:r>
      <w:r w:rsidRPr="000317C3">
        <w:rPr>
          <w:rFonts w:ascii="Times New Roman" w:eastAsia="Times New Roman" w:hAnsi="Times New Roman" w:cs="Times New Roman"/>
          <w:i/>
          <w:sz w:val="20"/>
          <w:szCs w:val="20"/>
        </w:rPr>
        <w:t>A Slaveholder’s Daughter</w:t>
      </w:r>
      <w:r w:rsidRPr="000317C3">
        <w:rPr>
          <w:rFonts w:ascii="Times New Roman" w:eastAsia="Times New Roman" w:hAnsi="Times New Roman" w:cs="Times New Roman"/>
          <w:sz w:val="20"/>
          <w:szCs w:val="20"/>
        </w:rPr>
        <w:t xml:space="preserve"> (New York: The Abbey Press, 1900), 227-228.</w:t>
      </w:r>
    </w:p>
    <w:p w14:paraId="602DA67B" w14:textId="77777777" w:rsidR="00E030E2" w:rsidRPr="000317C3" w:rsidRDefault="00E030E2" w:rsidP="00E030E2">
      <w:pPr>
        <w:spacing w:line="240" w:lineRule="auto"/>
        <w:rPr>
          <w:rFonts w:ascii="Times New Roman" w:eastAsia="Times New Roman" w:hAnsi="Times New Roman" w:cs="Times New Roman"/>
          <w:sz w:val="20"/>
          <w:szCs w:val="20"/>
        </w:rPr>
      </w:pPr>
    </w:p>
  </w:footnote>
  <w:footnote w:id="4">
    <w:p w14:paraId="5258B910" w14:textId="77777777" w:rsidR="00E030E2" w:rsidRPr="000317C3" w:rsidRDefault="00E030E2" w:rsidP="00E030E2">
      <w:pPr>
        <w:spacing w:line="240" w:lineRule="auto"/>
        <w:rPr>
          <w:rFonts w:ascii="Times New Roman" w:eastAsia="Times New Roman" w:hAnsi="Times New Roman" w:cs="Times New Roman"/>
          <w:sz w:val="20"/>
          <w:szCs w:val="20"/>
        </w:rPr>
      </w:pPr>
      <w:r w:rsidRPr="000317C3">
        <w:rPr>
          <w:rFonts w:ascii="Times New Roman" w:hAnsi="Times New Roman" w:cs="Times New Roman"/>
          <w:vertAlign w:val="superscript"/>
        </w:rPr>
        <w:footnoteRef/>
      </w:r>
      <w:r w:rsidRPr="000317C3">
        <w:rPr>
          <w:rFonts w:ascii="Times New Roman" w:eastAsia="Times New Roman" w:hAnsi="Times New Roman" w:cs="Times New Roman"/>
          <w:sz w:val="20"/>
          <w:szCs w:val="20"/>
        </w:rPr>
        <w:t xml:space="preserve">On slumming, see Michael </w:t>
      </w:r>
      <w:proofErr w:type="spellStart"/>
      <w:r w:rsidRPr="000317C3">
        <w:rPr>
          <w:rFonts w:ascii="Times New Roman" w:eastAsia="Times New Roman" w:hAnsi="Times New Roman" w:cs="Times New Roman"/>
          <w:sz w:val="20"/>
          <w:szCs w:val="20"/>
        </w:rPr>
        <w:t>McGerr</w:t>
      </w:r>
      <w:proofErr w:type="spellEnd"/>
      <w:r w:rsidRPr="000317C3">
        <w:rPr>
          <w:rFonts w:ascii="Times New Roman" w:eastAsia="Times New Roman" w:hAnsi="Times New Roman" w:cs="Times New Roman"/>
          <w:sz w:val="20"/>
          <w:szCs w:val="20"/>
        </w:rPr>
        <w:t xml:space="preserve">, </w:t>
      </w:r>
      <w:r w:rsidRPr="000317C3">
        <w:rPr>
          <w:rFonts w:ascii="Times New Roman" w:eastAsia="Times New Roman" w:hAnsi="Times New Roman" w:cs="Times New Roman"/>
          <w:i/>
          <w:sz w:val="20"/>
          <w:szCs w:val="20"/>
        </w:rPr>
        <w:t>A Fierce Discontent: The Rise and Fall of the Progressive Movement in America, 1870-1920</w:t>
      </w:r>
      <w:r w:rsidRPr="000317C3">
        <w:rPr>
          <w:rFonts w:ascii="Times New Roman" w:eastAsia="Times New Roman" w:hAnsi="Times New Roman" w:cs="Times New Roman"/>
          <w:sz w:val="20"/>
          <w:szCs w:val="20"/>
        </w:rPr>
        <w:t xml:space="preserve"> (New York: The Free Press, 2003), 101.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78A406" w14:textId="761BAF43" w:rsidR="00F94D19" w:rsidRDefault="00F94D19">
    <w:pPr>
      <w:pStyle w:val="Header"/>
    </w:pPr>
  </w:p>
  <w:p w14:paraId="0A0A1BA2" w14:textId="77777777" w:rsidR="00F94D19" w:rsidRDefault="00F94D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D3A948" w14:textId="5A9D23E7" w:rsidR="00C613C3" w:rsidRPr="00D103DB" w:rsidRDefault="00C613C3" w:rsidP="00C613C3">
    <w:pPr>
      <w:spacing w:before="240" w:line="240" w:lineRule="auto"/>
      <w:jc w:val="center"/>
      <w:rPr>
        <w:rFonts w:ascii="Times New Roman" w:eastAsia="Times New Roman" w:hAnsi="Times New Roman" w:cs="Times New Roman"/>
        <w:i/>
        <w:iCs/>
        <w:sz w:val="24"/>
        <w:szCs w:val="24"/>
      </w:rPr>
    </w:pPr>
    <w:r w:rsidRPr="00D103DB">
      <w:rPr>
        <w:rFonts w:ascii="Times New Roman" w:eastAsia="Times New Roman" w:hAnsi="Times New Roman" w:cs="Times New Roman"/>
        <w:i/>
        <w:iCs/>
        <w:sz w:val="24"/>
        <w:szCs w:val="24"/>
      </w:rPr>
      <w:t xml:space="preserve">Material </w:t>
    </w:r>
    <w:r w:rsidR="00D103DB">
      <w:rPr>
        <w:rFonts w:ascii="Times New Roman" w:eastAsia="Times New Roman" w:hAnsi="Times New Roman" w:cs="Times New Roman"/>
        <w:i/>
        <w:iCs/>
        <w:sz w:val="24"/>
        <w:szCs w:val="24"/>
      </w:rPr>
      <w:t>e</w:t>
    </w:r>
    <w:r w:rsidRPr="00D103DB">
      <w:rPr>
        <w:rFonts w:ascii="Times New Roman" w:eastAsia="Times New Roman" w:hAnsi="Times New Roman" w:cs="Times New Roman"/>
        <w:i/>
        <w:iCs/>
        <w:sz w:val="24"/>
        <w:szCs w:val="24"/>
      </w:rPr>
      <w:t xml:space="preserve">xcerpted from </w:t>
    </w:r>
    <w:r w:rsidR="00811528" w:rsidRPr="00D103DB">
      <w:rPr>
        <w:rFonts w:ascii="Times New Roman" w:eastAsia="Times New Roman" w:hAnsi="Times New Roman" w:cs="Times New Roman"/>
        <w:i/>
        <w:iCs/>
        <w:sz w:val="24"/>
        <w:szCs w:val="24"/>
      </w:rPr>
      <w:t>presentation delivered at the Southern Association for the History of Medicine and Science (SAHMS) 2022 Annual Meeting</w:t>
    </w:r>
  </w:p>
  <w:p w14:paraId="7D120E29" w14:textId="25970F67" w:rsidR="00C613C3" w:rsidRDefault="00D103DB" w:rsidP="00C613C3">
    <w:pPr>
      <w:spacing w:before="24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Paper Title- </w:t>
    </w:r>
    <w:r w:rsidR="00C613C3">
      <w:rPr>
        <w:rFonts w:ascii="Times New Roman" w:eastAsia="Times New Roman" w:hAnsi="Times New Roman" w:cs="Times New Roman"/>
        <w:sz w:val="24"/>
        <w:szCs w:val="24"/>
      </w:rPr>
      <w:t>"The Feminine Vice": Southern Women and Drug Addiction on the Eve of Federal Narcotic Regulation</w:t>
    </w:r>
  </w:p>
  <w:p w14:paraId="61D58F75" w14:textId="50131493" w:rsidR="00F94D19" w:rsidRPr="00C613C3" w:rsidRDefault="00C613C3" w:rsidP="00C613C3">
    <w:pPr>
      <w:spacing w:before="240" w:after="240" w:line="48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Patricia Lynne McCourt, Mississippi State University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08C"/>
    <w:rsid w:val="00811528"/>
    <w:rsid w:val="0083708C"/>
    <w:rsid w:val="008C712F"/>
    <w:rsid w:val="0093686A"/>
    <w:rsid w:val="00C042B3"/>
    <w:rsid w:val="00C613C3"/>
    <w:rsid w:val="00D103DB"/>
    <w:rsid w:val="00DF1ED2"/>
    <w:rsid w:val="00E030E2"/>
    <w:rsid w:val="00EB540E"/>
    <w:rsid w:val="00F94D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5CB325"/>
  <w15:chartTrackingRefBased/>
  <w15:docId w15:val="{01B3172B-6402-452F-A316-22BC24B58D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30E2"/>
    <w:pPr>
      <w:spacing w:after="0" w:line="276" w:lineRule="auto"/>
    </w:pPr>
    <w:rPr>
      <w:rFonts w:ascii="Arial" w:eastAsia="Arial" w:hAnsi="Arial" w:cs="Arial"/>
      <w:kern w:val="0"/>
      <w:lang w:val="en"/>
      <w14:ligatures w14:val="none"/>
    </w:rPr>
  </w:style>
  <w:style w:type="paragraph" w:styleId="Heading1">
    <w:name w:val="heading 1"/>
    <w:basedOn w:val="Normal"/>
    <w:next w:val="Normal"/>
    <w:link w:val="Heading1Char"/>
    <w:uiPriority w:val="9"/>
    <w:qFormat/>
    <w:rsid w:val="0083708C"/>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83708C"/>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83708C"/>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83708C"/>
    <w:pPr>
      <w:keepNext/>
      <w:keepLines/>
      <w:spacing w:before="80" w:after="40" w:line="259" w:lineRule="auto"/>
      <w:outlineLvl w:val="3"/>
    </w:pPr>
    <w:rPr>
      <w:rFonts w:asciiTheme="minorHAnsi" w:eastAsiaTheme="majorEastAsia" w:hAnsiTheme="minorHAnsi" w:cstheme="majorBidi"/>
      <w:i/>
      <w:iCs/>
      <w:color w:val="0F4761" w:themeColor="accent1" w:themeShade="BF"/>
      <w:kern w:val="2"/>
      <w:lang w:val="en-US"/>
      <w14:ligatures w14:val="standardContextual"/>
    </w:rPr>
  </w:style>
  <w:style w:type="paragraph" w:styleId="Heading5">
    <w:name w:val="heading 5"/>
    <w:basedOn w:val="Normal"/>
    <w:next w:val="Normal"/>
    <w:link w:val="Heading5Char"/>
    <w:uiPriority w:val="9"/>
    <w:semiHidden/>
    <w:unhideWhenUsed/>
    <w:qFormat/>
    <w:rsid w:val="0083708C"/>
    <w:pPr>
      <w:keepNext/>
      <w:keepLines/>
      <w:spacing w:before="80" w:after="40" w:line="259" w:lineRule="auto"/>
      <w:outlineLvl w:val="4"/>
    </w:pPr>
    <w:rPr>
      <w:rFonts w:asciiTheme="minorHAnsi" w:eastAsiaTheme="majorEastAsia" w:hAnsiTheme="minorHAnsi" w:cstheme="majorBidi"/>
      <w:color w:val="0F4761" w:themeColor="accent1" w:themeShade="BF"/>
      <w:kern w:val="2"/>
      <w:lang w:val="en-US"/>
      <w14:ligatures w14:val="standardContextual"/>
    </w:rPr>
  </w:style>
  <w:style w:type="paragraph" w:styleId="Heading6">
    <w:name w:val="heading 6"/>
    <w:basedOn w:val="Normal"/>
    <w:next w:val="Normal"/>
    <w:link w:val="Heading6Char"/>
    <w:uiPriority w:val="9"/>
    <w:semiHidden/>
    <w:unhideWhenUsed/>
    <w:qFormat/>
    <w:rsid w:val="0083708C"/>
    <w:pPr>
      <w:keepNext/>
      <w:keepLines/>
      <w:spacing w:before="40" w:line="259" w:lineRule="auto"/>
      <w:outlineLvl w:val="5"/>
    </w:pPr>
    <w:rPr>
      <w:rFonts w:asciiTheme="minorHAnsi" w:eastAsiaTheme="majorEastAsia" w:hAnsiTheme="minorHAnsi" w:cstheme="majorBidi"/>
      <w:i/>
      <w:iCs/>
      <w:color w:val="595959" w:themeColor="text1" w:themeTint="A6"/>
      <w:kern w:val="2"/>
      <w:lang w:val="en-US"/>
      <w14:ligatures w14:val="standardContextual"/>
    </w:rPr>
  </w:style>
  <w:style w:type="paragraph" w:styleId="Heading7">
    <w:name w:val="heading 7"/>
    <w:basedOn w:val="Normal"/>
    <w:next w:val="Normal"/>
    <w:link w:val="Heading7Char"/>
    <w:uiPriority w:val="9"/>
    <w:semiHidden/>
    <w:unhideWhenUsed/>
    <w:qFormat/>
    <w:rsid w:val="0083708C"/>
    <w:pPr>
      <w:keepNext/>
      <w:keepLines/>
      <w:spacing w:before="40" w:line="259" w:lineRule="auto"/>
      <w:outlineLvl w:val="6"/>
    </w:pPr>
    <w:rPr>
      <w:rFonts w:asciiTheme="minorHAnsi" w:eastAsiaTheme="majorEastAsia" w:hAnsiTheme="minorHAnsi" w:cstheme="majorBidi"/>
      <w:color w:val="595959" w:themeColor="text1" w:themeTint="A6"/>
      <w:kern w:val="2"/>
      <w:lang w:val="en-US"/>
      <w14:ligatures w14:val="standardContextual"/>
    </w:rPr>
  </w:style>
  <w:style w:type="paragraph" w:styleId="Heading8">
    <w:name w:val="heading 8"/>
    <w:basedOn w:val="Normal"/>
    <w:next w:val="Normal"/>
    <w:link w:val="Heading8Char"/>
    <w:uiPriority w:val="9"/>
    <w:semiHidden/>
    <w:unhideWhenUsed/>
    <w:qFormat/>
    <w:rsid w:val="0083708C"/>
    <w:pPr>
      <w:keepNext/>
      <w:keepLines/>
      <w:spacing w:line="259" w:lineRule="auto"/>
      <w:outlineLvl w:val="7"/>
    </w:pPr>
    <w:rPr>
      <w:rFonts w:asciiTheme="minorHAnsi" w:eastAsiaTheme="majorEastAsia" w:hAnsiTheme="minorHAnsi" w:cstheme="majorBidi"/>
      <w:i/>
      <w:iCs/>
      <w:color w:val="272727" w:themeColor="text1" w:themeTint="D8"/>
      <w:kern w:val="2"/>
      <w:lang w:val="en-US"/>
      <w14:ligatures w14:val="standardContextual"/>
    </w:rPr>
  </w:style>
  <w:style w:type="paragraph" w:styleId="Heading9">
    <w:name w:val="heading 9"/>
    <w:basedOn w:val="Normal"/>
    <w:next w:val="Normal"/>
    <w:link w:val="Heading9Char"/>
    <w:uiPriority w:val="9"/>
    <w:semiHidden/>
    <w:unhideWhenUsed/>
    <w:qFormat/>
    <w:rsid w:val="0083708C"/>
    <w:pPr>
      <w:keepNext/>
      <w:keepLines/>
      <w:spacing w:line="259" w:lineRule="auto"/>
      <w:outlineLvl w:val="8"/>
    </w:pPr>
    <w:rPr>
      <w:rFonts w:asciiTheme="minorHAnsi" w:eastAsiaTheme="majorEastAsia" w:hAnsiTheme="minorHAnsi" w:cstheme="majorBidi"/>
      <w:color w:val="272727" w:themeColor="text1" w:themeTint="D8"/>
      <w:kern w:val="2"/>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708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3708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3708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3708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3708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3708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708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708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708C"/>
    <w:rPr>
      <w:rFonts w:eastAsiaTheme="majorEastAsia" w:cstheme="majorBidi"/>
      <w:color w:val="272727" w:themeColor="text1" w:themeTint="D8"/>
    </w:rPr>
  </w:style>
  <w:style w:type="paragraph" w:styleId="Title">
    <w:name w:val="Title"/>
    <w:basedOn w:val="Normal"/>
    <w:next w:val="Normal"/>
    <w:link w:val="TitleChar"/>
    <w:uiPriority w:val="10"/>
    <w:qFormat/>
    <w:rsid w:val="0083708C"/>
    <w:pPr>
      <w:spacing w:after="80" w:line="240" w:lineRule="auto"/>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leChar">
    <w:name w:val="Title Char"/>
    <w:basedOn w:val="DefaultParagraphFont"/>
    <w:link w:val="Title"/>
    <w:uiPriority w:val="10"/>
    <w:rsid w:val="0083708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708C"/>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83708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708C"/>
    <w:pPr>
      <w:spacing w:before="160" w:after="160" w:line="259" w:lineRule="auto"/>
      <w:jc w:val="center"/>
    </w:pPr>
    <w:rPr>
      <w:rFonts w:asciiTheme="minorHAnsi" w:eastAsiaTheme="minorHAnsi" w:hAnsiTheme="minorHAnsi" w:cstheme="minorBidi"/>
      <w:i/>
      <w:iCs/>
      <w:color w:val="404040" w:themeColor="text1" w:themeTint="BF"/>
      <w:kern w:val="2"/>
      <w:lang w:val="en-US"/>
      <w14:ligatures w14:val="standardContextual"/>
    </w:rPr>
  </w:style>
  <w:style w:type="character" w:customStyle="1" w:styleId="QuoteChar">
    <w:name w:val="Quote Char"/>
    <w:basedOn w:val="DefaultParagraphFont"/>
    <w:link w:val="Quote"/>
    <w:uiPriority w:val="29"/>
    <w:rsid w:val="0083708C"/>
    <w:rPr>
      <w:i/>
      <w:iCs/>
      <w:color w:val="404040" w:themeColor="text1" w:themeTint="BF"/>
    </w:rPr>
  </w:style>
  <w:style w:type="paragraph" w:styleId="ListParagraph">
    <w:name w:val="List Paragraph"/>
    <w:basedOn w:val="Normal"/>
    <w:uiPriority w:val="34"/>
    <w:qFormat/>
    <w:rsid w:val="0083708C"/>
    <w:pPr>
      <w:spacing w:after="160" w:line="259" w:lineRule="auto"/>
      <w:ind w:left="720"/>
      <w:contextualSpacing/>
    </w:pPr>
    <w:rPr>
      <w:rFonts w:asciiTheme="minorHAnsi" w:eastAsiaTheme="minorHAnsi" w:hAnsiTheme="minorHAnsi" w:cstheme="minorBidi"/>
      <w:kern w:val="2"/>
      <w:lang w:val="en-US"/>
      <w14:ligatures w14:val="standardContextual"/>
    </w:rPr>
  </w:style>
  <w:style w:type="character" w:styleId="IntenseEmphasis">
    <w:name w:val="Intense Emphasis"/>
    <w:basedOn w:val="DefaultParagraphFont"/>
    <w:uiPriority w:val="21"/>
    <w:qFormat/>
    <w:rsid w:val="0083708C"/>
    <w:rPr>
      <w:i/>
      <w:iCs/>
      <w:color w:val="0F4761" w:themeColor="accent1" w:themeShade="BF"/>
    </w:rPr>
  </w:style>
  <w:style w:type="paragraph" w:styleId="IntenseQuote">
    <w:name w:val="Intense Quote"/>
    <w:basedOn w:val="Normal"/>
    <w:next w:val="Normal"/>
    <w:link w:val="IntenseQuoteChar"/>
    <w:uiPriority w:val="30"/>
    <w:qFormat/>
    <w:rsid w:val="0083708C"/>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eastAsiaTheme="minorHAnsi" w:hAnsiTheme="minorHAnsi" w:cstheme="minorBidi"/>
      <w:i/>
      <w:iCs/>
      <w:color w:val="0F4761" w:themeColor="accent1" w:themeShade="BF"/>
      <w:kern w:val="2"/>
      <w:lang w:val="en-US"/>
      <w14:ligatures w14:val="standardContextual"/>
    </w:rPr>
  </w:style>
  <w:style w:type="character" w:customStyle="1" w:styleId="IntenseQuoteChar">
    <w:name w:val="Intense Quote Char"/>
    <w:basedOn w:val="DefaultParagraphFont"/>
    <w:link w:val="IntenseQuote"/>
    <w:uiPriority w:val="30"/>
    <w:rsid w:val="0083708C"/>
    <w:rPr>
      <w:i/>
      <w:iCs/>
      <w:color w:val="0F4761" w:themeColor="accent1" w:themeShade="BF"/>
    </w:rPr>
  </w:style>
  <w:style w:type="character" w:styleId="IntenseReference">
    <w:name w:val="Intense Reference"/>
    <w:basedOn w:val="DefaultParagraphFont"/>
    <w:uiPriority w:val="32"/>
    <w:qFormat/>
    <w:rsid w:val="0083708C"/>
    <w:rPr>
      <w:b/>
      <w:bCs/>
      <w:smallCaps/>
      <w:color w:val="0F4761" w:themeColor="accent1" w:themeShade="BF"/>
      <w:spacing w:val="5"/>
    </w:rPr>
  </w:style>
  <w:style w:type="paragraph" w:styleId="Header">
    <w:name w:val="header"/>
    <w:basedOn w:val="Normal"/>
    <w:link w:val="HeaderChar"/>
    <w:uiPriority w:val="99"/>
    <w:unhideWhenUsed/>
    <w:rsid w:val="00F94D19"/>
    <w:pPr>
      <w:tabs>
        <w:tab w:val="center" w:pos="4680"/>
        <w:tab w:val="right" w:pos="9360"/>
      </w:tabs>
      <w:spacing w:line="240" w:lineRule="auto"/>
    </w:pPr>
  </w:style>
  <w:style w:type="character" w:customStyle="1" w:styleId="HeaderChar">
    <w:name w:val="Header Char"/>
    <w:basedOn w:val="DefaultParagraphFont"/>
    <w:link w:val="Header"/>
    <w:uiPriority w:val="99"/>
    <w:rsid w:val="00F94D19"/>
    <w:rPr>
      <w:rFonts w:ascii="Arial" w:eastAsia="Arial" w:hAnsi="Arial" w:cs="Arial"/>
      <w:kern w:val="0"/>
      <w:lang w:val="en"/>
      <w14:ligatures w14:val="none"/>
    </w:rPr>
  </w:style>
  <w:style w:type="paragraph" w:styleId="Footer">
    <w:name w:val="footer"/>
    <w:basedOn w:val="Normal"/>
    <w:link w:val="FooterChar"/>
    <w:uiPriority w:val="99"/>
    <w:unhideWhenUsed/>
    <w:rsid w:val="00F94D19"/>
    <w:pPr>
      <w:tabs>
        <w:tab w:val="center" w:pos="4680"/>
        <w:tab w:val="right" w:pos="9360"/>
      </w:tabs>
      <w:spacing w:line="240" w:lineRule="auto"/>
    </w:pPr>
  </w:style>
  <w:style w:type="character" w:customStyle="1" w:styleId="FooterChar">
    <w:name w:val="Footer Char"/>
    <w:basedOn w:val="DefaultParagraphFont"/>
    <w:link w:val="Footer"/>
    <w:uiPriority w:val="99"/>
    <w:rsid w:val="00F94D19"/>
    <w:rPr>
      <w:rFonts w:ascii="Arial" w:eastAsia="Arial" w:hAnsi="Arial" w:cs="Arial"/>
      <w:kern w:val="0"/>
      <w:lang w:val="e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1004</Words>
  <Characters>5726</Characters>
  <Application>Microsoft Office Word</Application>
  <DocSecurity>0</DocSecurity>
  <Lines>47</Lines>
  <Paragraphs>13</Paragraphs>
  <ScaleCrop>false</ScaleCrop>
  <Company/>
  <LinksUpToDate>false</LinksUpToDate>
  <CharactersWithSpaces>6717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McCourt</dc:creator>
  <cp:keywords/>
  <dc:description/>
  <cp:lastModifiedBy>Patricia McCourt</cp:lastModifiedBy>
  <cp:revision>7</cp:revision>
  <dcterms:created xsi:type="dcterms:W3CDTF">2024-08-28T18:06:00Z</dcterms:created>
  <dcterms:modified xsi:type="dcterms:W3CDTF">2024-08-28T18:12:00Z</dcterms:modified>
</cp:coreProperties>
</file>